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  <w:jc w:val="center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40"/>
          <w:szCs w:val="40"/>
        </w:rPr>
        <w:t xml:space="preserve">Payment Fraud Radar Checklist</w:t>
      </w:r>
    </w:p>
    <w:p>
      <w:pPr>
        <w:spacing w:after="240" w:before="0"/>
        <w:jc w:val="center"/>
      </w:pPr>
      <w:r>
        <w:rPr>
          <w:rFonts w:ascii="Calibri" w:cs="Calibri" w:eastAsia="Calibri" w:hAnsi="Calibri"/>
          <w:b w:val="false"/>
          <w:bCs w:val="false"/>
          <w:i/>
          <w:iCs/>
          <w:color w:val="666666"/>
          <w:sz w:val="22"/>
          <w:szCs w:val="22"/>
        </w:rPr>
        <w:t xml:space="preserve">A 15-minute check to stop invoice and payment fraud before the money leaves</w:t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2600"/>
        <w:gridCol w:w="7480"/>
      </w:tblGrid>
      <w:tr>
        <w:tc>
          <w:tcPr>
            <w:tcW w:type="dxa" w:w="2600"/>
            <w:shd w:fill="E8F6F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Reviewed by</w:t>
            </w:r>
          </w:p>
        </w:tc>
        <w:tc>
          <w:tcPr>
            <w:tcW w:type="dxa" w:w="748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________________________________     Date: ______________</w:t>
            </w:r>
          </w:p>
        </w:tc>
      </w:tr>
      <w:tr>
        <w:tc>
          <w:tcPr>
            <w:tcW w:type="dxa" w:w="2600"/>
            <w:shd w:fill="E8F6F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Business area</w:t>
            </w:r>
          </w:p>
        </w:tc>
        <w:tc>
          <w:tcPr>
            <w:tcW w:type="dxa" w:w="748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________________________________________________</w:t>
            </w:r>
          </w:p>
        </w:tc>
      </w:tr>
      <w:tr>
        <w:tc>
          <w:tcPr>
            <w:tcW w:type="dxa" w:w="2600"/>
            <w:shd w:fill="E8F6F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Version</w:t>
            </w:r>
          </w:p>
        </w:tc>
        <w:tc>
          <w:tcPr>
            <w:tcW w:type="dxa" w:w="748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2.0 (July 2026) — replaces v1.0 (Sep 2025)</w:t>
            </w:r>
          </w:p>
        </w:tc>
      </w:tr>
    </w:tbl>
    <w:tbl>
      <w:tblPr>
        <w:tblW w:type="dxa" w:w="10080"/>
        <w:tblBorders>
          <w:top w:val="single" w:color="0F9B8E" w:sz="4"/>
          <w:left w:val="single" w:color="0F9B8E" w:sz="18"/>
          <w:bottom w:val="single" w:color="0F9B8E" w:sz="4"/>
          <w:right w:val="single" w:color="0F9B8E" w:sz="4"/>
          <w:insideH w:val="none" w:color="FFFFFF" w:sz="0"/>
          <w:insideV w:val="none" w:color="FFFFFF" w:sz="0"/>
        </w:tblBorders>
      </w:tblPr>
      <w:tblGrid>
        <w:gridCol w:w="10080"/>
      </w:tblGrid>
      <w:tr>
        <w:tc>
          <w:tcPr>
            <w:tcW w:type="dxa" w:w="10080"/>
            <w:shd w:fill="E8F6F4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spacing w:after="10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22"/>
                <w:szCs w:val="22"/>
              </w:rPr>
              <w:t xml:space="preserve">How to use this checklist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Run it as a short huddle with whoever raises, approves and makes payments — around 15 minutes.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Section A is pass/fail. If any Section A gate fails, hold the payment until it is resolved.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For Sections B–E, tick Yes, Partly or No, and assign an owner and due date to every gap.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Scoring: Yes = 2, Partly = 1, No = 0. Add up your score out of 24 and follow the action table.</w:t>
            </w:r>
          </w:p>
        </w:tc>
      </w:tr>
    </w:tbl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Section A — Must-pass gates</w:t>
      </w:r>
    </w:p>
    <w:p>
      <w:pPr>
        <w:spacing w:after="120" w:before="0" w:line="260"/>
      </w:pPr>
      <w:r>
        <w:rPr>
          <w:rFonts w:ascii="Calibri" w:cs="Calibri" w:eastAsia="Calibri" w:hAnsi="Calibri"/>
          <w:b w:val="false"/>
          <w:bCs w:val="false"/>
          <w:i/>
          <w:iCs/>
          <w:color w:val="1F2933"/>
          <w:sz w:val="20"/>
          <w:szCs w:val="20"/>
        </w:rPr>
        <w:t xml:space="preserve">A failure here means do not release the payment until it is resolved.</w:t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420"/>
        <w:gridCol w:w="5000"/>
        <w:gridCol w:w="700"/>
        <w:gridCol w:w="700"/>
        <w:gridCol w:w="3260"/>
      </w:tblGrid>
      <w:tr>
        <w:trPr>
          <w:tblHeader/>
        </w:trPr>
        <w:tc>
          <w:tcPr>
            <w:tcW w:type="dxa" w:w="42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#</w:t>
            </w:r>
          </w:p>
        </w:tc>
        <w:tc>
          <w:tcPr>
            <w:tcW w:type="dxa" w:w="500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Must-pass check</w:t>
            </w:r>
          </w:p>
        </w:tc>
        <w:tc>
          <w:tcPr>
            <w:tcW w:type="dxa" w:w="70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Pass</w:t>
            </w:r>
          </w:p>
        </w:tc>
        <w:tc>
          <w:tcPr>
            <w:tcW w:type="dxa" w:w="70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Fail</w:t>
            </w:r>
          </w:p>
        </w:tc>
        <w:tc>
          <w:tcPr>
            <w:tcW w:type="dxa" w:w="326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Notes / evidence</w:t>
            </w:r>
          </w:p>
        </w:tc>
      </w:tr>
      <w:tr>
        <w:trPr>
          <w:trHeight w:val="440" w:hRule="atLeast"/>
        </w:trPr>
        <w:tc>
          <w:tcPr>
            <w:tcW w:type="dxa" w:w="420"/>
            <w:shd w:fill="E8F6F4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</w:t>
            </w:r>
          </w:p>
        </w:tc>
        <w:tc>
          <w:tcPr>
            <w:tcW w:type="dxa" w:w="50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Vendor or payee identity verified independently — not using contact details from the invoice or email itself.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32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shd w:fill="E8F6F4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2</w:t>
            </w:r>
          </w:p>
        </w:tc>
        <w:tc>
          <w:tcPr>
            <w:tcW w:type="dxa" w:w="50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Dual approval required for payments over our agreed threshold of  £/€ ____________ .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32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shd w:fill="E8F6F4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3</w:t>
            </w:r>
          </w:p>
        </w:tc>
        <w:tc>
          <w:tcPr>
            <w:tcW w:type="dxa" w:w="50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Payee is already on our approved vendor list.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32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</w:tbl>
    <w:p>
      <w:pPr>
        <w:spacing w:after="20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Section B–E — Scored checks</w:t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420"/>
        <w:gridCol w:w="4520"/>
        <w:gridCol w:w="640"/>
        <w:gridCol w:w="760"/>
        <w:gridCol w:w="600"/>
        <w:gridCol w:w="1620"/>
        <w:gridCol w:w="1520"/>
      </w:tblGrid>
      <w:tr>
        <w:trPr>
          <w:tblHeader/>
        </w:trPr>
        <w:tc>
          <w:tcPr>
            <w:tcW w:type="dxa" w:w="42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#</w:t>
            </w:r>
          </w:p>
        </w:tc>
        <w:tc>
          <w:tcPr>
            <w:tcW w:type="dxa" w:w="452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Check</w:t>
            </w:r>
          </w:p>
        </w:tc>
        <w:tc>
          <w:tcPr>
            <w:tcW w:type="dxa" w:w="64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Yes (2)</w:t>
            </w:r>
          </w:p>
        </w:tc>
        <w:tc>
          <w:tcPr>
            <w:tcW w:type="dxa" w:w="76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Partly (1)</w:t>
            </w:r>
          </w:p>
        </w:tc>
        <w:tc>
          <w:tcPr>
            <w:tcW w:type="dxa" w:w="60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No (0)</w:t>
            </w:r>
          </w:p>
        </w:tc>
        <w:tc>
          <w:tcPr>
            <w:tcW w:type="dxa" w:w="162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Owner</w:t>
            </w:r>
          </w:p>
        </w:tc>
        <w:tc>
          <w:tcPr>
            <w:tcW w:type="dxa" w:w="152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Due date</w:t>
            </w:r>
          </w:p>
        </w:tc>
      </w:tr>
      <w:tr>
        <w:tc>
          <w:tcPr>
            <w:tcW w:type="dxa" w:w="10080"/>
            <w:gridSpan w:val="7"/>
            <w:shd w:fill="E8F6F4" w:color="auto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Section B — Verification &amp; controls</w:t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4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Independent callback to confirm bank details, using a known pre-verified number.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5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Callback confirms a real person — we are alert to deepfake voice and video impersonation.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6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Invoice cross-checked against the purchase order and proof of delivery.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7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Unusual invoice timing, rounded amounts, or slight changes to a familiar invoice are challenged.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80"/>
            <w:gridSpan w:val="7"/>
            <w:shd w:fill="E8F6F4" w:color="auto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Section C — Data &amp; privacy</w:t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8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Payment data encrypted in transit and at rest.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9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Access to payment details limited to authorised staff only.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80"/>
            <w:gridSpan w:val="7"/>
            <w:shd w:fill="E8F6F4" w:color="auto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Section D — Security &amp; access</w:t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10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Segregation of duties: the person who sets up a payee cannot also approve the payment.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11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Dual control required for any change to vendor bank details.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12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Alerts in place for unusual transaction patterns, new payees, or first payments to a new account.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80"/>
            <w:gridSpan w:val="7"/>
            <w:shd w:fill="E8F6F4" w:color="auto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Section E — Oversight &amp; response</w:t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13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Vendor master file reviewed at least quarterly.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14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Staff trained on fraud red flags, including urgency, secrecy and senior-impersonation pressure.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15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Incident response plan for payment fraud, including who to call at the bank and how fast.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</w:tbl>
    <w:p>
      <w:pPr>
        <w:spacing w:after="20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Your score</w:t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7080"/>
        <w:gridCol w:w="3000"/>
      </w:tblGrid>
      <w:tr>
        <w:trPr>
          <w:trHeight w:val="560" w:hRule="atLeast"/>
        </w:trPr>
        <w:tc>
          <w:tcPr>
            <w:tcW w:type="dxa" w:w="7080"/>
            <w:shd w:fill="E8F6F4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20"/>
                <w:szCs w:val="20"/>
              </w:rPr>
              <w:t xml:space="preserve">Your total score  (Yes = 2, Partly = 1, No = 0)</w:t>
            </w:r>
          </w:p>
        </w:tc>
        <w:tc>
          <w:tcPr>
            <w:tcW w:type="dxa" w:w="30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22"/>
                <w:szCs w:val="22"/>
              </w:rPr>
              <w:t xml:space="preserve">________  out of  24</w:t>
            </w:r>
          </w:p>
        </w:tc>
      </w:tr>
    </w:tbl>
    <w:p>
      <w:pPr>
        <w:spacing w:after="14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2200"/>
        <w:gridCol w:w="7880"/>
      </w:tblGrid>
      <w:tr>
        <w:trPr>
          <w:tblHeader/>
        </w:trPr>
        <w:tc>
          <w:tcPr>
            <w:tcW w:type="dxa" w:w="220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Score</w:t>
            </w:r>
          </w:p>
        </w:tc>
        <w:tc>
          <w:tcPr>
            <w:tcW w:type="dxa" w:w="788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What to do next</w:t>
            </w:r>
          </w:p>
        </w:tc>
      </w:tr>
      <w:tr>
        <w:tc>
          <w:tcPr>
            <w:tcW w:type="dxa" w:w="2200"/>
            <w:shd w:fill="E9F7EC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2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7692C"/>
                <w:sz w:val="20"/>
                <w:szCs w:val="20"/>
              </w:rPr>
              <w:t xml:space="preserve">20–24</w:t>
            </w:r>
          </w:p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7692C"/>
                <w:sz w:val="17"/>
                <w:szCs w:val="17"/>
              </w:rPr>
              <w:t xml:space="preserve">Low risk</w:t>
            </w:r>
          </w:p>
        </w:tc>
        <w:tc>
          <w:tcPr>
            <w:tcW w:type="dxa" w:w="788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Controls are in good shape. Keep the momentum: re-run this quarterly and after any staffing change in finance.</w:t>
            </w:r>
          </w:p>
        </w:tc>
      </w:tr>
      <w:tr>
        <w:tc>
          <w:tcPr>
            <w:tcW w:type="dxa" w:w="2200"/>
            <w:shd w:fill="FFF6E5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2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8A6100"/>
                <w:sz w:val="20"/>
                <w:szCs w:val="20"/>
              </w:rPr>
              <w:t xml:space="preserve">12–19</w:t>
            </w:r>
          </w:p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8A6100"/>
                <w:sz w:val="17"/>
                <w:szCs w:val="17"/>
              </w:rPr>
              <w:t xml:space="preserve">Moderate</w:t>
            </w:r>
          </w:p>
        </w:tc>
        <w:tc>
          <w:tcPr>
            <w:tcW w:type="dxa" w:w="788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Fix the quick wins within 14 days — callbacks and dual approval usually give the biggest gain for the least effort.</w:t>
            </w:r>
          </w:p>
        </w:tc>
      </w:tr>
      <w:tr>
        <w:tc>
          <w:tcPr>
            <w:tcW w:type="dxa" w:w="2200"/>
            <w:shd w:fill="FDECEC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2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9B2C2C"/>
                <w:sz w:val="20"/>
                <w:szCs w:val="20"/>
              </w:rPr>
              <w:t xml:space="preserve">0–11</w:t>
            </w:r>
          </w:p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9B2C2C"/>
                <w:sz w:val="17"/>
                <w:szCs w:val="17"/>
              </w:rPr>
              <w:t xml:space="preserve">High risk</w:t>
            </w:r>
          </w:p>
        </w:tc>
        <w:tc>
          <w:tcPr>
            <w:tcW w:type="dxa" w:w="788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Act now. Require dual approval on all payments and independent callbacks on every bank-detail change, then run a 30-day plan to close the gaps.</w:t>
            </w:r>
          </w:p>
        </w:tc>
      </w:tr>
    </w:tbl>
    <w:p>
      <w:pPr>
        <w:spacing w:after="20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If you suspect fraud — act in the first hour</w:t>
      </w:r>
    </w:p>
    <w:tbl>
      <w:tblPr>
        <w:tblW w:type="dxa" w:w="10080"/>
        <w:tblBorders>
          <w:top w:val="single" w:color="9B2C2C" w:sz="4"/>
          <w:left w:val="single" w:color="9B2C2C" w:sz="18"/>
          <w:bottom w:val="single" w:color="9B2C2C" w:sz="4"/>
          <w:right w:val="single" w:color="9B2C2C" w:sz="4"/>
          <w:insideH w:val="none" w:color="FFFFFF" w:sz="0"/>
          <w:insideV w:val="none" w:color="FFFFFF" w:sz="0"/>
        </w:tblBorders>
      </w:tblPr>
      <w:tblGrid>
        <w:gridCol w:w="10080"/>
      </w:tblGrid>
      <w:tr>
        <w:tc>
          <w:tcPr>
            <w:tcW w:type="dxa" w:w="10080"/>
            <w:shd w:fill="FDECEC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spacing w:after="10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9B2C2C"/>
                <w:sz w:val="22"/>
                <w:szCs w:val="22"/>
              </w:rPr>
              <w:t xml:space="preserve">Immediate steps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1.  Stop the payment. Contact your bank straight away and ask them to attempt recall — speed is the single biggest factor in getting money back.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2.  Do not tip off the suspected fraudster or reply to the suspicious thread.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3.  Preserve the evidence: emails, headers, invoices, call logs and the payment reference.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4.  Report it. In the UK, report to Action Fraud (or Police Scotland). Notify your insurer if you hold cyber or crime cover.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5.  If personal data was exposed, follow your data breach procedure and consider whether the ICO must be told within 72 hours.</w:t>
            </w:r>
          </w:p>
        </w:tc>
      </w:tr>
    </w:tbl>
    <w:p>
      <w:pPr>
        <w:spacing w:after="20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2026 update — how payment fraud has changed</w:t>
      </w:r>
    </w:p>
    <w:tbl>
      <w:tblPr>
        <w:tblW w:type="dxa" w:w="10080"/>
        <w:tblBorders>
          <w:top w:val="single" w:color="0F9B8E" w:sz="4"/>
          <w:left w:val="single" w:color="0F9B8E" w:sz="18"/>
          <w:bottom w:val="single" w:color="0F9B8E" w:sz="4"/>
          <w:right w:val="single" w:color="0F9B8E" w:sz="4"/>
          <w:insideH w:val="none" w:color="FFFFFF" w:sz="0"/>
          <w:insideV w:val="none" w:color="FFFFFF" w:sz="0"/>
        </w:tblBorders>
      </w:tblPr>
      <w:tblGrid>
        <w:gridCol w:w="10080"/>
      </w:tblGrid>
      <w:tr>
        <w:tc>
          <w:tcPr>
            <w:tcW w:type="dxa" w:w="10080"/>
            <w:shd w:fill="E8F6F4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spacing w:after="10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22"/>
                <w:szCs w:val="22"/>
              </w:rPr>
              <w:t xml:space="preserve">New for 2026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9"/>
                <w:szCs w:val="19"/>
              </w:rPr>
              <w:t xml:space="preserve">AI-enabled impersonation.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Deepfake voice and video are now used in CEO-fraud and supplier-impersonation scams. Never approve a payment or a change of bank details on the strength of a call or video alone — always verify out-of-band on a number you already hold.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9"/>
                <w:szCs w:val="19"/>
              </w:rPr>
              <w:t xml:space="preserve">Bank-detail change requests.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Treat every change of supplier bank details as high-risk. Require dual control plus an independent callback before the master file is updated.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9"/>
                <w:szCs w:val="19"/>
              </w:rPr>
              <w:t xml:space="preserve">UK reimbursement rules.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Since 7 October 2024, UK banks must reimburse eligible victims of authorised push payment (APP) fraud on Faster Payments and CHAPS — covering individuals, microenterprises and small charities — up to £85,000 per claim, with the cost shared between the sending and receiving bank. Reporting quickly matters.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9"/>
                <w:szCs w:val="19"/>
              </w:rPr>
              <w:t xml:space="preserve">Confirmation of Payee.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Use name-checking on every new payee, and treat a partial match or mismatch as a stop signal rather than a formality.</w:t>
            </w:r>
          </w:p>
        </w:tc>
      </w:tr>
    </w:tbl>
    <w:p>
      <w:pPr>
        <w:spacing w:after="16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tbl>
      <w:tblPr>
        <w:tblW w:type="dxa" w:w="10080"/>
        <w:tblBorders>
          <w:top w:val="single" w:color="B7791F" w:sz="4"/>
          <w:left w:val="single" w:color="B7791F" w:sz="18"/>
          <w:bottom w:val="single" w:color="B7791F" w:sz="4"/>
          <w:right w:val="single" w:color="B7791F" w:sz="4"/>
          <w:insideH w:val="none" w:color="FFFFFF" w:sz="0"/>
          <w:insideV w:val="none" w:color="FFFFFF" w:sz="0"/>
        </w:tblBorders>
      </w:tblPr>
      <w:tblGrid>
        <w:gridCol w:w="10080"/>
      </w:tblGrid>
      <w:tr>
        <w:tc>
          <w:tcPr>
            <w:tcW w:type="dxa" w:w="10080"/>
            <w:shd w:fill="FFF6E5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spacing w:after="10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B7791F"/>
                <w:sz w:val="22"/>
                <w:szCs w:val="22"/>
              </w:rPr>
              <w:t xml:space="preserve">Important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This checklist is operational best practice, not legal advice, and does not guarantee reimbursement. Reimbursement rules vary by country, payment type and circumstances — check with your own bank and insurer.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300" w:right="1080" w:bottom="1100" w:left="1080" w:header="480" w:footer="38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9B809" w:sz="12" w:space="6"/>
      </w:pBdr>
      <w:spacing w:after="0" w:before="0"/>
    </w:pPr>
    <w:r>
      <w:rPr>
        <w:rFonts w:ascii="Calibri" w:cs="Calibri" w:eastAsia="Calibri" w:hAnsi="Calibri"/>
        <w:b w:val="false"/>
        <w:bCs w:val="false"/>
        <w:i w:val="false"/>
        <w:iCs w:val="false"/>
        <w:color w:val="1F2933"/>
        <w:sz w:val="20"/>
        <w:szCs w:val="20"/>
      </w:rPr>
      <w:t xml:space="preserve"/>
    </w:r>
  </w:p>
  <w:p>
    <w:pPr>
      <w:spacing w:after="0" w:before="60"/>
      <w:jc w:val="center"/>
    </w:pPr>
    <w:r>
      <w:rPr>
        <w:rFonts w:ascii="Calibri" w:cs="Calibri" w:eastAsia="Calibri" w:hAnsi="Calibri"/>
        <w:b w:val="false"/>
        <w:bCs w:val="false"/>
        <w:i w:val="false"/>
        <w:iCs w:val="false"/>
        <w:color w:val="666666"/>
        <w:sz w:val="16"/>
        <w:szCs w:val="16"/>
      </w:rPr>
      <w:t xml:space="preserve">safeaiforbusiness.com  ·  Practical AI governance for SMEs  ·  Page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b w:val="false"/>
        <w:bCs w:val="false"/>
        <w:i w:val="false"/>
        <w:iCs w:val="false"/>
        <w:color w:val="666666"/>
        <w:sz w:val="16"/>
        <w:szCs w:val="16"/>
      </w:rPr>
      <w:t xml:space="preserve"> of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0080"/>
      <w:tblBorders>
        <w:top w:val="none" w:color="FFFFFF" w:sz="0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9180"/>
    </w:tblGrid>
    <w:tr>
      <w:tc>
        <w:tcPr>
          <w:tcW w:type="dxa" w:w="900"/>
          <w:tcMar>
            <w:top w:type="dxa" w:w="80"/>
            <w:left w:type="dxa" w:w="120"/>
            <w:bottom w:type="dxa" w:w="80"/>
            <w:right w:type="dxa" w:w="120"/>
          </w:tcMar>
          <w:vAlign w:val="center"/>
        </w:tcPr>
        <w:p>
          <w:pPr>
            <w:spacing w:after="0"/>
          </w:pPr>
          <w:r>
            <w:drawing>
              <wp:inline distT="0" distB="0" distL="0" distR="0">
                <wp:extent cx="400050" cy="4000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9180"/>
          <w:tcMar>
            <w:top w:type="dxa" w:w="80"/>
            <w:left w:type="dxa" w:w="120"/>
            <w:bottom w:type="dxa" w:w="80"/>
            <w:right w:type="dxa" w:w="120"/>
          </w:tcMar>
          <w:vAlign w:val="center"/>
        </w:tcPr>
        <w:p>
          <w:pPr>
            <w:spacing w:after="0" w:before="0" w:line="260"/>
            <w:jc w:val="right"/>
          </w:pPr>
          <w:r>
            <w:rPr>
              <w:rFonts w:ascii="Calibri" w:cs="Calibri" w:eastAsia="Calibri" w:hAnsi="Calibri"/>
              <w:b/>
              <w:bCs/>
              <w:i w:val="false"/>
              <w:iCs w:val="false"/>
              <w:color w:val="666666"/>
              <w:sz w:val="19"/>
              <w:szCs w:val="19"/>
            </w:rPr>
            <w:t xml:space="preserve">SafeAI for Business</w:t>
          </w:r>
        </w:p>
        <w:p>
          <w:pPr>
            <w:spacing w:after="0" w:before="0" w:line="260"/>
            <w:jc w:val="right"/>
          </w:pPr>
          <w:r>
            <w:rPr>
              <w:rFonts w:ascii="Calibri" w:cs="Calibri" w:eastAsia="Calibri" w:hAnsi="Calibri"/>
              <w:b w:val="false"/>
              <w:bCs w:val="false"/>
              <w:i w:val="false"/>
              <w:iCs w:val="false"/>
              <w:color w:val="666666"/>
              <w:sz w:val="17"/>
              <w:szCs w:val="17"/>
            </w:rPr>
            <w:t xml:space="preserve">Version 2.0  ·  July 2026</w:t>
          </w:r>
        </w:p>
      </w:tc>
    </w:tr>
  </w:tbl>
  <w:p>
    <w:pPr>
      <w:pBdr>
        <w:bottom w:val="single" w:color="09B809" w:sz="12" w:space="1"/>
      </w:pBdr>
      <w:spacing w:after="0" w:before="60"/>
    </w:pPr>
    <w:r>
      <w:rPr>
        <w:rFonts w:ascii="Calibri" w:cs="Calibri" w:eastAsia="Calibri" w:hAnsi="Calibri"/>
        <w:b w:val="false"/>
        <w:bCs w:val="false"/>
        <w:i w:val="false"/>
        <w:iCs w:val="false"/>
        <w:color w:val="1F2933"/>
        <w:sz w:val="20"/>
        <w:szCs w:val="20"/>
      </w:rP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40"/>
      </w:pPr>
    </w:lvl>
    <w:lvl w:ilvl="1" w15:tentative="1">
      <w:start w:val="1"/>
      <w:numFmt w:val="bullet"/>
      <w:lvlText w:val="◦"/>
      <w:lvlJc w:val="left"/>
      <w:pPr>
        <w:ind w:left="720" w:hanging="24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3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f0692b168def25e93f7e679f24bbea64e324689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2026-07-23T04:21:23.077Z</dcterms:created>
  <dcterms:modified xsi:type="dcterms:W3CDTF">2026-07-23T04:21:23.077Z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